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41B411FA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FC7AB6">
        <w:rPr>
          <w:rFonts w:cs="Calibri"/>
          <w:bCs/>
          <w:sz w:val="20"/>
          <w:szCs w:val="20"/>
        </w:rPr>
        <w:t>dois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FC7AB6">
        <w:rPr>
          <w:rFonts w:cs="Calibri"/>
          <w:bCs/>
          <w:sz w:val="20"/>
          <w:szCs w:val="20"/>
        </w:rPr>
        <w:t>s</w:t>
      </w:r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567D47">
        <w:rPr>
          <w:rFonts w:cs="Calibri"/>
          <w:bCs/>
          <w:sz w:val="20"/>
          <w:szCs w:val="20"/>
        </w:rPr>
        <w:t xml:space="preserve">Medicina </w:t>
      </w:r>
      <w:r w:rsidR="00FC7AB6">
        <w:rPr>
          <w:rFonts w:cs="Calibri"/>
          <w:bCs/>
          <w:sz w:val="20"/>
          <w:szCs w:val="20"/>
        </w:rPr>
        <w:t>Física e Reabilitação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1ED86D17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FC7AB6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FC7AB6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96CF-D285-49C7-A0FF-F22FB8A6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2025-05-07T15:21:00Z</dcterms:created>
  <dcterms:modified xsi:type="dcterms:W3CDTF">2025-05-07T15:21:00Z</dcterms:modified>
</cp:coreProperties>
</file>